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74C" w14:textId="77777777" w:rsidR="00212F27" w:rsidRPr="00614AC4" w:rsidRDefault="00212F27">
      <w:pPr>
        <w:widowControl w:val="0"/>
        <w:spacing w:line="276" w:lineRule="auto"/>
        <w:ind w:left="-708"/>
        <w:rPr>
          <w:rFonts w:eastAsia="Arial"/>
          <w:sz w:val="22"/>
          <w:szCs w:val="22"/>
        </w:rPr>
      </w:pPr>
    </w:p>
    <w:tbl>
      <w:tblPr>
        <w:tblStyle w:val="a"/>
        <w:tblW w:w="10515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030"/>
        <w:gridCol w:w="5325"/>
      </w:tblGrid>
      <w:tr w:rsidR="00212F27" w:rsidRPr="00614AC4" w14:paraId="34C74522" w14:textId="77777777">
        <w:trPr>
          <w:trHeight w:val="1155"/>
        </w:trPr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DCA1169" w14:textId="77777777" w:rsidR="00212F27" w:rsidRPr="00614AC4" w:rsidRDefault="00000000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614AC4">
              <w:rPr>
                <w:b/>
                <w:color w:val="FFFFFF"/>
                <w:sz w:val="32"/>
                <w:szCs w:val="32"/>
              </w:rPr>
              <w:t>FICHE DE POSTE</w:t>
            </w:r>
          </w:p>
          <w:p w14:paraId="2C0AC8D4" w14:textId="77777777" w:rsidR="00212F27" w:rsidRPr="00614AC4" w:rsidRDefault="00000000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614AC4">
              <w:rPr>
                <w:b/>
                <w:color w:val="FFFFFF"/>
                <w:sz w:val="32"/>
                <w:szCs w:val="32"/>
              </w:rPr>
              <w:t>Laboratoire de Parasitologie Mycologie – Montpellier</w:t>
            </w:r>
          </w:p>
        </w:tc>
      </w:tr>
      <w:tr w:rsidR="00212F27" w:rsidRPr="00614AC4" w14:paraId="6C128136" w14:textId="77777777">
        <w:trPr>
          <w:trHeight w:val="420"/>
        </w:trPr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3F434" w14:textId="77777777" w:rsidR="00212F27" w:rsidRPr="00614AC4" w:rsidRDefault="00000000">
            <w:pPr>
              <w:jc w:val="center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 xml:space="preserve">Date création : 20/06/2022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AC5A57" w14:textId="77777777" w:rsidR="00212F27" w:rsidRPr="00614AC4" w:rsidRDefault="00000000">
            <w:pPr>
              <w:jc w:val="center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Rédigé par Valentin Montagnon</w:t>
            </w:r>
          </w:p>
        </w:tc>
      </w:tr>
      <w:tr w:rsidR="00212F27" w:rsidRPr="00614AC4" w14:paraId="01C4A015" w14:textId="77777777">
        <w:trPr>
          <w:trHeight w:val="450"/>
        </w:trPr>
        <w:tc>
          <w:tcPr>
            <w:tcW w:w="5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3EB02" w14:textId="77777777" w:rsidR="00212F27" w:rsidRPr="00614AC4" w:rsidRDefault="00000000">
            <w:pPr>
              <w:jc w:val="center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Date de la révision : 20/06/2022</w:t>
            </w:r>
          </w:p>
        </w:tc>
        <w:tc>
          <w:tcPr>
            <w:tcW w:w="5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8B5EE7" w14:textId="77777777" w:rsidR="00212F27" w:rsidRPr="00614AC4" w:rsidRDefault="00000000">
            <w:pPr>
              <w:jc w:val="center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 xml:space="preserve">Vérifié par Luna </w:t>
            </w:r>
            <w:proofErr w:type="spellStart"/>
            <w:r w:rsidRPr="00614AC4">
              <w:rPr>
                <w:sz w:val="22"/>
                <w:szCs w:val="22"/>
              </w:rPr>
              <w:t>Ruffel</w:t>
            </w:r>
            <w:proofErr w:type="spellEnd"/>
          </w:p>
        </w:tc>
      </w:tr>
      <w:tr w:rsidR="00212F27" w:rsidRPr="00614AC4" w14:paraId="7F67ADC0" w14:textId="77777777">
        <w:trPr>
          <w:trHeight w:val="103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</w:tcPr>
          <w:p w14:paraId="6F3E0923" w14:textId="77777777" w:rsidR="00212F27" w:rsidRPr="00614AC4" w:rsidRDefault="00000000">
            <w:pPr>
              <w:spacing w:line="259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>LOCALISATION</w:t>
            </w:r>
          </w:p>
        </w:tc>
        <w:tc>
          <w:tcPr>
            <w:tcW w:w="8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176CF" w14:textId="77777777" w:rsidR="00212F27" w:rsidRPr="00614AC4" w:rsidRDefault="00000000">
            <w:pPr>
              <w:rPr>
                <w:sz w:val="22"/>
                <w:szCs w:val="22"/>
              </w:rPr>
            </w:pPr>
            <w:proofErr w:type="spellStart"/>
            <w:r w:rsidRPr="00614AC4">
              <w:rPr>
                <w:b/>
                <w:color w:val="001E5E"/>
                <w:sz w:val="22"/>
                <w:szCs w:val="22"/>
              </w:rPr>
              <w:t>Pôle</w:t>
            </w:r>
            <w:proofErr w:type="spellEnd"/>
            <w:r w:rsidRPr="00614AC4">
              <w:rPr>
                <w:b/>
                <w:color w:val="001E5E"/>
                <w:sz w:val="22"/>
                <w:szCs w:val="22"/>
              </w:rPr>
              <w:t xml:space="preserve"> </w:t>
            </w:r>
            <w:r w:rsidRPr="00614AC4">
              <w:rPr>
                <w:color w:val="001E5E"/>
                <w:sz w:val="22"/>
                <w:szCs w:val="22"/>
              </w:rPr>
              <w:t xml:space="preserve">: </w:t>
            </w:r>
            <w:r w:rsidRPr="00614AC4">
              <w:rPr>
                <w:sz w:val="22"/>
                <w:szCs w:val="22"/>
              </w:rPr>
              <w:t>Biologie-Pathologie</w:t>
            </w:r>
            <w:r w:rsidRPr="00614AC4">
              <w:rPr>
                <w:sz w:val="22"/>
                <w:szCs w:val="22"/>
              </w:rPr>
              <w:br/>
            </w:r>
            <w:r w:rsidRPr="00614AC4">
              <w:rPr>
                <w:b/>
                <w:color w:val="001E5E"/>
                <w:sz w:val="22"/>
                <w:szCs w:val="22"/>
              </w:rPr>
              <w:t xml:space="preserve">Site </w:t>
            </w:r>
            <w:r w:rsidRPr="00614AC4">
              <w:rPr>
                <w:sz w:val="22"/>
                <w:szCs w:val="22"/>
              </w:rPr>
              <w:t xml:space="preserve">: </w:t>
            </w:r>
            <w:proofErr w:type="spellStart"/>
            <w:r w:rsidRPr="00614AC4">
              <w:rPr>
                <w:sz w:val="22"/>
                <w:szCs w:val="22"/>
              </w:rPr>
              <w:t>Hôpital</w:t>
            </w:r>
            <w:proofErr w:type="spellEnd"/>
            <w:r w:rsidRPr="00614AC4">
              <w:rPr>
                <w:sz w:val="22"/>
                <w:szCs w:val="22"/>
              </w:rPr>
              <w:t xml:space="preserve"> La Colombière</w:t>
            </w:r>
            <w:r w:rsidRPr="00614AC4">
              <w:rPr>
                <w:sz w:val="22"/>
                <w:szCs w:val="22"/>
              </w:rPr>
              <w:br/>
            </w:r>
            <w:r w:rsidRPr="00614AC4">
              <w:rPr>
                <w:b/>
                <w:color w:val="001E5E"/>
                <w:sz w:val="22"/>
                <w:szCs w:val="22"/>
              </w:rPr>
              <w:t xml:space="preserve">Service </w:t>
            </w:r>
            <w:r w:rsidRPr="00614AC4">
              <w:rPr>
                <w:sz w:val="22"/>
                <w:szCs w:val="22"/>
              </w:rPr>
              <w:t xml:space="preserve">: Laboratoire de Parasitologie Mycologie </w:t>
            </w:r>
          </w:p>
        </w:tc>
      </w:tr>
      <w:tr w:rsidR="00212F27" w:rsidRPr="00614AC4" w14:paraId="5B209EC1" w14:textId="77777777">
        <w:trPr>
          <w:trHeight w:val="119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</w:tcPr>
          <w:p w14:paraId="478194B0" w14:textId="77777777" w:rsidR="00212F27" w:rsidRPr="00614AC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>EQUIPE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1FA2E" w14:textId="77777777" w:rsidR="00212F27" w:rsidRPr="00614AC4" w:rsidRDefault="00000000">
            <w:pPr>
              <w:rPr>
                <w:sz w:val="22"/>
                <w:szCs w:val="22"/>
              </w:rPr>
            </w:pPr>
            <w:r w:rsidRPr="00614AC4">
              <w:rPr>
                <w:b/>
                <w:color w:val="001E5E"/>
                <w:sz w:val="22"/>
                <w:szCs w:val="22"/>
              </w:rPr>
              <w:t xml:space="preserve">Chef de service </w:t>
            </w:r>
            <w:r w:rsidRPr="00614AC4">
              <w:rPr>
                <w:sz w:val="22"/>
                <w:szCs w:val="22"/>
              </w:rPr>
              <w:t>: Pr Laurence Lachaud PU-PH</w:t>
            </w:r>
            <w:r w:rsidRPr="00614AC4">
              <w:rPr>
                <w:sz w:val="22"/>
                <w:szCs w:val="22"/>
              </w:rPr>
              <w:br/>
            </w:r>
            <w:r w:rsidRPr="00614AC4">
              <w:rPr>
                <w:b/>
                <w:color w:val="001E5E"/>
                <w:sz w:val="22"/>
                <w:szCs w:val="22"/>
              </w:rPr>
              <w:t xml:space="preserve">Biologistes </w:t>
            </w:r>
            <w:r w:rsidRPr="00614AC4">
              <w:rPr>
                <w:sz w:val="22"/>
                <w:szCs w:val="22"/>
              </w:rPr>
              <w:t xml:space="preserve">: à voir </w:t>
            </w:r>
          </w:p>
          <w:p w14:paraId="0557932D" w14:textId="77777777" w:rsidR="00212F27" w:rsidRPr="00614AC4" w:rsidRDefault="00000000">
            <w:pPr>
              <w:rPr>
                <w:sz w:val="22"/>
                <w:szCs w:val="22"/>
              </w:rPr>
            </w:pPr>
            <w:r w:rsidRPr="00614AC4">
              <w:rPr>
                <w:b/>
                <w:color w:val="001E5E"/>
                <w:sz w:val="22"/>
                <w:szCs w:val="22"/>
              </w:rPr>
              <w:t xml:space="preserve">Internes </w:t>
            </w:r>
            <w:r w:rsidRPr="00614AC4">
              <w:rPr>
                <w:sz w:val="22"/>
                <w:szCs w:val="22"/>
              </w:rPr>
              <w:t xml:space="preserve">: nombre variable (stage libre) </w:t>
            </w:r>
          </w:p>
          <w:p w14:paraId="0BB5DE5F" w14:textId="77777777" w:rsidR="00212F27" w:rsidRPr="00614AC4" w:rsidRDefault="00000000">
            <w:pPr>
              <w:rPr>
                <w:b/>
                <w:color w:val="002060"/>
                <w:sz w:val="22"/>
                <w:szCs w:val="22"/>
              </w:rPr>
            </w:pPr>
            <w:r w:rsidRPr="00614AC4">
              <w:rPr>
                <w:b/>
                <w:color w:val="001E5E"/>
                <w:sz w:val="22"/>
                <w:szCs w:val="22"/>
              </w:rPr>
              <w:t xml:space="preserve">Techniciens </w:t>
            </w:r>
            <w:r w:rsidRPr="00614AC4">
              <w:rPr>
                <w:sz w:val="22"/>
                <w:szCs w:val="22"/>
              </w:rPr>
              <w:t>: 8-10 techniciens</w:t>
            </w:r>
          </w:p>
        </w:tc>
      </w:tr>
      <w:tr w:rsidR="00212F27" w:rsidRPr="00614AC4" w14:paraId="10657945" w14:textId="77777777">
        <w:trPr>
          <w:trHeight w:val="46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</w:tcPr>
          <w:p w14:paraId="0D772D74" w14:textId="77777777" w:rsidR="00212F27" w:rsidRPr="00614AC4" w:rsidRDefault="00000000">
            <w:pPr>
              <w:spacing w:line="259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>AGRÉMENTS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77EBA" w14:textId="77777777" w:rsidR="00212F27" w:rsidRPr="00614AC4" w:rsidRDefault="00000000">
            <w:p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Interne de phase socle, approfondissement, consolidation</w:t>
            </w:r>
          </w:p>
        </w:tc>
      </w:tr>
      <w:tr w:rsidR="00212F27" w:rsidRPr="00614AC4" w14:paraId="71879DB9" w14:textId="77777777">
        <w:trPr>
          <w:trHeight w:val="670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</w:tcPr>
          <w:p w14:paraId="1FE9FB6C" w14:textId="77777777" w:rsidR="00212F27" w:rsidRPr="00614AC4" w:rsidRDefault="00000000">
            <w:pPr>
              <w:spacing w:line="259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>PROFIL DE L’INTERNE</w:t>
            </w:r>
          </w:p>
          <w:p w14:paraId="6E5F3047" w14:textId="77777777" w:rsidR="00212F27" w:rsidRPr="00614AC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C1006" w14:textId="77777777" w:rsidR="00212F27" w:rsidRPr="00614AC4" w:rsidRDefault="00000000">
            <w:pPr>
              <w:spacing w:after="280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  <w:u w:val="single"/>
              </w:rPr>
              <w:t>Horaires habituels</w:t>
            </w:r>
            <w:r w:rsidRPr="00614AC4">
              <w:rPr>
                <w:i/>
                <w:sz w:val="22"/>
                <w:szCs w:val="22"/>
              </w:rPr>
              <w:t> :</w:t>
            </w:r>
            <w:r w:rsidRPr="00614AC4">
              <w:rPr>
                <w:sz w:val="22"/>
                <w:szCs w:val="22"/>
              </w:rPr>
              <w:t xml:space="preserve"> 9h-17h avec un interne d’astreinte de 17h à 18h</w:t>
            </w:r>
          </w:p>
          <w:p w14:paraId="338F9650" w14:textId="77777777" w:rsidR="00212F27" w:rsidRPr="00614AC4" w:rsidRDefault="00000000">
            <w:pPr>
              <w:spacing w:before="280" w:after="280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  <w:u w:val="single"/>
              </w:rPr>
              <w:t>Postes de base en journée </w:t>
            </w:r>
            <w:r w:rsidRPr="00614AC4">
              <w:rPr>
                <w:sz w:val="22"/>
                <w:szCs w:val="22"/>
              </w:rPr>
              <w:t>:</w:t>
            </w:r>
          </w:p>
          <w:p w14:paraId="268656A0" w14:textId="77777777" w:rsidR="00212F27" w:rsidRPr="00614AC4" w:rsidRDefault="00000000">
            <w:pPr>
              <w:numPr>
                <w:ilvl w:val="0"/>
                <w:numId w:val="1"/>
              </w:numPr>
              <w:spacing w:before="280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Gestion des prélèvements négatifs de mycologie avec validation en autonomie</w:t>
            </w:r>
          </w:p>
          <w:p w14:paraId="0AB6109E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Gestion des prélèvement positifs de mycologie en supervision avec un biologiste du secteur</w:t>
            </w:r>
          </w:p>
          <w:p w14:paraId="05A844BC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Technique et validation biologique des demandes de paludisme (TDR, LAMP, frottis, goutte épaisse) et gestion des envois au CNR.</w:t>
            </w:r>
          </w:p>
          <w:p w14:paraId="236190C7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 xml:space="preserve">Gestion et validation des sérologies parasitaires (toxoplasmose, mais aussi toxocarose, amibiases, Ag et </w:t>
            </w:r>
            <w:proofErr w:type="spellStart"/>
            <w:r w:rsidRPr="00614AC4">
              <w:rPr>
                <w:sz w:val="22"/>
                <w:szCs w:val="22"/>
              </w:rPr>
              <w:t>Ac</w:t>
            </w:r>
            <w:proofErr w:type="spellEnd"/>
            <w:r w:rsidRPr="00614AC4">
              <w:rPr>
                <w:sz w:val="22"/>
                <w:szCs w:val="22"/>
              </w:rPr>
              <w:t xml:space="preserve"> aspergillaires…) avec validation des prélèvements négatifs en autonomie et des prélèvements positifs vérifiés par le biologiste du secteur.</w:t>
            </w:r>
          </w:p>
          <w:p w14:paraId="70FBE9C6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Lecture des LBA, frottis de selles…</w:t>
            </w:r>
          </w:p>
          <w:p w14:paraId="0B4435B6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Passage dans le secteur de biologie moléculaire possible</w:t>
            </w:r>
          </w:p>
          <w:p w14:paraId="52CD466E" w14:textId="77777777" w:rsidR="00212F27" w:rsidRPr="00614AC4" w:rsidRDefault="0000000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 xml:space="preserve">Renfort possible au pré-analytique en cas de manque d’effectif </w:t>
            </w:r>
          </w:p>
          <w:p w14:paraId="2813D675" w14:textId="77777777" w:rsidR="00212F27" w:rsidRPr="00614AC4" w:rsidRDefault="00212F27">
            <w:pPr>
              <w:ind w:left="720"/>
              <w:rPr>
                <w:sz w:val="22"/>
                <w:szCs w:val="22"/>
              </w:rPr>
            </w:pPr>
          </w:p>
          <w:p w14:paraId="1C1720F2" w14:textId="77777777" w:rsidR="00212F27" w:rsidRPr="00614AC4" w:rsidRDefault="00000000">
            <w:p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  <w:u w:val="single"/>
              </w:rPr>
              <w:t>Prestation de conseil </w:t>
            </w:r>
            <w:r w:rsidRPr="00614AC4">
              <w:rPr>
                <w:sz w:val="22"/>
                <w:szCs w:val="22"/>
              </w:rPr>
              <w:t>: recevoir les appels des services cliniques et répondre aux demandes</w:t>
            </w:r>
          </w:p>
          <w:p w14:paraId="3E57A09B" w14:textId="77777777" w:rsidR="00212F27" w:rsidRPr="00614AC4" w:rsidRDefault="00212F27">
            <w:pPr>
              <w:ind w:left="720"/>
              <w:rPr>
                <w:sz w:val="22"/>
                <w:szCs w:val="22"/>
              </w:rPr>
            </w:pPr>
          </w:p>
          <w:p w14:paraId="42B93918" w14:textId="77777777" w:rsidR="00212F27" w:rsidRPr="00614AC4" w:rsidRDefault="00212F27">
            <w:pPr>
              <w:ind w:left="720"/>
              <w:rPr>
                <w:sz w:val="22"/>
                <w:szCs w:val="22"/>
              </w:rPr>
            </w:pPr>
          </w:p>
          <w:p w14:paraId="56D01EF1" w14:textId="77777777" w:rsidR="00212F27" w:rsidRPr="00614AC4" w:rsidRDefault="00000000">
            <w:pPr>
              <w:spacing w:after="280"/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  <w:u w:val="single"/>
              </w:rPr>
              <w:t xml:space="preserve">Participation aux staffs </w:t>
            </w:r>
            <w:r w:rsidRPr="00614AC4">
              <w:rPr>
                <w:sz w:val="22"/>
                <w:szCs w:val="22"/>
              </w:rPr>
              <w:t>: Staffs du service avec 3 présentations à présenter durant le semestre (synthèse biblio, cas clinique)</w:t>
            </w:r>
          </w:p>
          <w:p w14:paraId="093FD97F" w14:textId="77777777" w:rsidR="00212F27" w:rsidRPr="00614AC4" w:rsidRDefault="00212F27">
            <w:pPr>
              <w:spacing w:before="280"/>
              <w:ind w:left="720"/>
              <w:rPr>
                <w:b/>
                <w:color w:val="002060"/>
                <w:u w:val="single"/>
              </w:rPr>
            </w:pPr>
          </w:p>
        </w:tc>
      </w:tr>
      <w:tr w:rsidR="00212F27" w:rsidRPr="00614AC4" w14:paraId="45626A19" w14:textId="77777777">
        <w:trPr>
          <w:trHeight w:val="120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/>
            <w:vAlign w:val="center"/>
          </w:tcPr>
          <w:p w14:paraId="7ABAB212" w14:textId="77777777" w:rsidR="00212F27" w:rsidRPr="00614AC4" w:rsidRDefault="00000000">
            <w:pPr>
              <w:spacing w:line="259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614AC4">
              <w:rPr>
                <w:b/>
                <w:color w:val="FFFFFF"/>
                <w:sz w:val="22"/>
                <w:szCs w:val="22"/>
              </w:rPr>
              <w:t>FORMATION THÉORIQUE</w:t>
            </w:r>
          </w:p>
        </w:tc>
        <w:tc>
          <w:tcPr>
            <w:tcW w:w="8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BEB4F" w14:textId="77777777" w:rsidR="00614AC4" w:rsidRPr="00614AC4" w:rsidRDefault="00614AC4" w:rsidP="00614AC4">
            <w:pPr>
              <w:rPr>
                <w:rFonts w:eastAsia="Calibri Light"/>
              </w:rPr>
            </w:pPr>
            <w:r w:rsidRPr="00614AC4">
              <w:rPr>
                <w:rFonts w:eastAsia="Calibri Light"/>
              </w:rPr>
              <w:t xml:space="preserve">Présentations de cas cliniques de microbiologie clinique communes avec les internes de parasitologie-mycologie et de bactériologie. </w:t>
            </w:r>
          </w:p>
          <w:p w14:paraId="02A189CD" w14:textId="77777777" w:rsidR="00614AC4" w:rsidRPr="00614AC4" w:rsidRDefault="00614AC4" w:rsidP="00614AC4">
            <w:pPr>
              <w:rPr>
                <w:sz w:val="22"/>
                <w:szCs w:val="22"/>
              </w:rPr>
            </w:pPr>
          </w:p>
          <w:p w14:paraId="674E6415" w14:textId="0CA720C9" w:rsidR="00212F27" w:rsidRPr="00614AC4" w:rsidRDefault="00000000" w:rsidP="00614AC4">
            <w:pPr>
              <w:rPr>
                <w:sz w:val="22"/>
                <w:szCs w:val="22"/>
              </w:rPr>
            </w:pPr>
            <w:r w:rsidRPr="00614AC4">
              <w:rPr>
                <w:sz w:val="22"/>
                <w:szCs w:val="22"/>
              </w:rPr>
              <w:t>Cours théorique de parasitologie-mycologie à Toulouse et à Montpellier 2 jours dans le semestre</w:t>
            </w:r>
          </w:p>
        </w:tc>
      </w:tr>
    </w:tbl>
    <w:p w14:paraId="6B8D0D35" w14:textId="77777777" w:rsidR="00212F27" w:rsidRPr="00614AC4" w:rsidRDefault="00212F27">
      <w:pPr>
        <w:spacing w:after="160" w:line="259" w:lineRule="auto"/>
        <w:rPr>
          <w:rFonts w:eastAsia="Arial"/>
          <w:sz w:val="22"/>
          <w:szCs w:val="22"/>
        </w:rPr>
      </w:pPr>
    </w:p>
    <w:p w14:paraId="1D409913" w14:textId="77777777" w:rsidR="00212F27" w:rsidRPr="00614AC4" w:rsidRDefault="00212F27"/>
    <w:sectPr w:rsidR="00212F27" w:rsidRPr="00614AC4">
      <w:pgSz w:w="11900" w:h="16840"/>
      <w:pgMar w:top="708" w:right="3413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4750A"/>
    <w:multiLevelType w:val="multilevel"/>
    <w:tmpl w:val="B34614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245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27"/>
    <w:rsid w:val="00212F27"/>
    <w:rsid w:val="006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ACFA"/>
  <w15:docId w15:val="{2BF66E8C-47E4-445E-B467-49CB8F2B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418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141807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huvAiJd+dL8ugQtMOeOaOfS9g==">AMUW2mV3bSQkHKs/7X3EZiu01PkLrteEJTfEvGMA1pwC2Y0RY+i1IHfAvn+LI4nlB+JHZCsT2riG7/v4alevx2bbU3i+VWivpCKW9rb/I3+eojeQ55ZZUfQ=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Montagnon</dc:creator>
  <cp:lastModifiedBy>Justine Maroilley</cp:lastModifiedBy>
  <cp:revision>2</cp:revision>
  <dcterms:created xsi:type="dcterms:W3CDTF">2022-06-20T08:23:00Z</dcterms:created>
  <dcterms:modified xsi:type="dcterms:W3CDTF">2022-12-09T16:11:00Z</dcterms:modified>
</cp:coreProperties>
</file>